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rPr>
          <w:rFonts w:eastAsia="黑体"/>
        </w:rPr>
      </w:pPr>
      <w:r>
        <w:rPr>
          <w:rFonts w:ascii="Times New Roman" w:hAnsi="Times New Roman" w:eastAsia="黑体" w:cs="Times New Roman"/>
          <w:sz w:val="32"/>
        </w:rPr>
        <w:t>附件1</w:t>
      </w:r>
    </w:p>
    <w:p>
      <w:pPr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2022年青岛科技活动周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启动式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参展项目信息表</w:t>
      </w:r>
    </w:p>
    <w:p>
      <w:pPr>
        <w:rPr>
          <w:rStyle w:val="7"/>
          <w:rFonts w:hint="default" w:eastAsiaTheme="minorEastAsia"/>
          <w:b/>
          <w:bCs/>
          <w:lang w:val="en-US" w:eastAsia="zh-CN"/>
        </w:rPr>
      </w:pPr>
      <w:r>
        <w:rPr>
          <w:rStyle w:val="7"/>
          <w:rFonts w:hint="eastAsia"/>
          <w:b/>
          <w:bCs/>
          <w:lang w:eastAsia="zh-CN"/>
        </w:rPr>
        <w:t>推荐区（市、功能区）、单位：</w:t>
      </w:r>
      <w:r>
        <w:rPr>
          <w:rStyle w:val="7"/>
          <w:rFonts w:hint="eastAsia"/>
          <w:b/>
          <w:bCs/>
          <w:lang w:val="en-US" w:eastAsia="zh-CN"/>
        </w:rPr>
        <w:t xml:space="preserve">                            填报人：                             联系方式：</w:t>
      </w:r>
    </w:p>
    <w:tbl>
      <w:tblPr>
        <w:tblStyle w:val="4"/>
        <w:tblW w:w="13395" w:type="dxa"/>
        <w:tblInd w:w="-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95"/>
        <w:gridCol w:w="2499"/>
        <w:gridCol w:w="1478"/>
        <w:gridCol w:w="1573"/>
        <w:gridCol w:w="1425"/>
        <w:gridCol w:w="1680"/>
        <w:gridCol w:w="1335"/>
        <w:gridCol w:w="1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sz w:val="24"/>
              </w:rPr>
              <w:t>展示内容（互动强、亮点突出）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展示内容所属领域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sz w:val="24"/>
              </w:rPr>
              <w:t>携带产品、设备（台/套）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参展工作人员数</w:t>
            </w:r>
            <w:r>
              <w:rPr>
                <w:rStyle w:val="7"/>
                <w:rFonts w:ascii="仿宋" w:hAnsi="仿宋" w:eastAsia="仿宋" w:cs="仿宋"/>
                <w:b/>
                <w:bCs/>
                <w:sz w:val="24"/>
              </w:rPr>
              <w:t>（人）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sz w:val="24"/>
              </w:rPr>
              <w:t>展台需求（面积3*3㎡/个）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4"/>
              </w:rPr>
              <w:t>联系人、</w:t>
            </w:r>
            <w:r>
              <w:rPr>
                <w:rStyle w:val="7"/>
                <w:rFonts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参展产品照片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sz w:val="24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sz w:val="24"/>
              </w:rPr>
            </w:pPr>
          </w:p>
        </w:tc>
      </w:tr>
    </w:tbl>
    <w:p>
      <w:pPr>
        <w:snapToGrid w:val="0"/>
        <w:spacing w:line="240" w:lineRule="auto"/>
        <w:jc w:val="left"/>
        <w:rPr>
          <w:rStyle w:val="7"/>
          <w:rFonts w:ascii="仿宋_GB2312" w:eastAsia="仿宋_GB2312"/>
          <w:b/>
          <w:sz w:val="24"/>
          <w:szCs w:val="24"/>
        </w:rPr>
      </w:pPr>
    </w:p>
    <w:p>
      <w:pPr>
        <w:snapToGrid w:val="0"/>
        <w:spacing w:line="240" w:lineRule="auto"/>
        <w:jc w:val="left"/>
        <w:rPr>
          <w:rStyle w:val="7"/>
          <w:rFonts w:hint="eastAsia" w:ascii="仿宋_GB2312" w:eastAsia="仿宋_GB2312"/>
          <w:b/>
          <w:sz w:val="24"/>
          <w:szCs w:val="24"/>
        </w:rPr>
        <w:sectPr>
          <w:pgSz w:w="16838" w:h="11906" w:orient="landscape"/>
          <w:pgMar w:top="1474" w:right="2154" w:bottom="1587" w:left="2098" w:header="851" w:footer="992" w:gutter="0"/>
          <w:cols w:space="720" w:num="1"/>
          <w:docGrid w:type="lines" w:linePitch="312" w:charSpace="0"/>
        </w:sectPr>
      </w:pPr>
      <w:r>
        <w:rPr>
          <w:rStyle w:val="7"/>
          <w:rFonts w:ascii="仿宋_GB2312" w:eastAsia="仿宋_GB2312"/>
          <w:b/>
          <w:sz w:val="24"/>
          <w:szCs w:val="24"/>
        </w:rPr>
        <w:t>备注</w:t>
      </w:r>
      <w:r>
        <w:rPr>
          <w:rStyle w:val="7"/>
          <w:rFonts w:hint="eastAsia" w:ascii="仿宋_GB2312" w:eastAsia="仿宋_GB2312"/>
          <w:b/>
          <w:sz w:val="24"/>
          <w:szCs w:val="24"/>
        </w:rPr>
        <w:t>：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科技创新展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eastAsia="zh-CN"/>
        </w:rPr>
        <w:t>拟在胶州市（上合示范区）举办，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设置“碳达峰碳中和”“海洋科技”“民生科技”“上合元素”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eastAsia="zh-CN"/>
        </w:rPr>
        <w:t>高新技术及产品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”等主题展位，拟参展单位根据展位主题，填写参展领域。</w:t>
      </w:r>
    </w:p>
    <w:p>
      <w:pPr>
        <w:topLinePunct/>
        <w:spacing w:line="360" w:lineRule="auto"/>
        <w:rPr>
          <w:rFonts w:eastAsia="黑体"/>
        </w:rPr>
      </w:pPr>
      <w:r>
        <w:rPr>
          <w:rFonts w:ascii="Times New Roman" w:hAnsi="Times New Roman" w:eastAsia="黑体" w:cs="Times New Roman"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2022年青岛科技活动周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分会场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备案表</w:t>
      </w:r>
    </w:p>
    <w:p>
      <w:pPr>
        <w:snapToGrid w:val="0"/>
        <w:spacing w:line="560" w:lineRule="exact"/>
        <w:jc w:val="center"/>
        <w:rPr>
          <w:rStyle w:val="7"/>
          <w:rFonts w:eastAsia="长城小标宋体"/>
          <w:b/>
          <w:bCs/>
          <w:spacing w:val="6"/>
          <w:sz w:val="32"/>
          <w:szCs w:val="32"/>
        </w:rPr>
      </w:pPr>
    </w:p>
    <w:tbl>
      <w:tblPr>
        <w:tblStyle w:val="4"/>
        <w:tblW w:w="850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3233"/>
        <w:gridCol w:w="1437"/>
        <w:gridCol w:w="22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项目名称</w:t>
            </w:r>
          </w:p>
        </w:tc>
        <w:tc>
          <w:tcPr>
            <w:tcW w:w="6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主办单位</w:t>
            </w:r>
          </w:p>
        </w:tc>
        <w:tc>
          <w:tcPr>
            <w:tcW w:w="3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主管部门</w:t>
            </w:r>
          </w:p>
        </w:tc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举办地点</w:t>
            </w:r>
          </w:p>
        </w:tc>
        <w:tc>
          <w:tcPr>
            <w:tcW w:w="3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举办时间</w:t>
            </w:r>
          </w:p>
        </w:tc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联</w:t>
            </w:r>
            <w:r>
              <w:rPr>
                <w:rStyle w:val="7"/>
                <w:sz w:val="24"/>
              </w:rPr>
              <w:t xml:space="preserve"> </w:t>
            </w:r>
            <w:r>
              <w:rPr>
                <w:rStyle w:val="7"/>
                <w:rFonts w:eastAsia="仿宋_GB2312"/>
                <w:sz w:val="24"/>
              </w:rPr>
              <w:t>系</w:t>
            </w:r>
            <w:r>
              <w:rPr>
                <w:rStyle w:val="7"/>
                <w:sz w:val="24"/>
              </w:rPr>
              <w:t xml:space="preserve"> </w:t>
            </w:r>
            <w:r>
              <w:rPr>
                <w:rStyle w:val="7"/>
                <w:rFonts w:eastAsia="仿宋_GB2312"/>
                <w:sz w:val="24"/>
              </w:rPr>
              <w:t>人</w:t>
            </w:r>
          </w:p>
        </w:tc>
        <w:tc>
          <w:tcPr>
            <w:tcW w:w="3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联系电话</w:t>
            </w:r>
          </w:p>
        </w:tc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hint="eastAsia" w:eastAsia="仿宋_GB2312"/>
                <w:sz w:val="24"/>
                <w:lang w:eastAsia="zh-CN"/>
              </w:rPr>
            </w:pPr>
            <w:r>
              <w:rPr>
                <w:rStyle w:val="7"/>
                <w:rFonts w:hint="eastAsia" w:eastAsia="仿宋_GB2312"/>
                <w:sz w:val="24"/>
                <w:lang w:eastAsia="zh-CN"/>
              </w:rPr>
              <w:t>费用情况</w:t>
            </w:r>
          </w:p>
        </w:tc>
        <w:tc>
          <w:tcPr>
            <w:tcW w:w="3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拟参加人数</w:t>
            </w:r>
          </w:p>
        </w:tc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活</w:t>
            </w:r>
          </w:p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动</w:t>
            </w:r>
          </w:p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内</w:t>
            </w:r>
          </w:p>
          <w:p>
            <w:pPr>
              <w:snapToGrid w:val="0"/>
              <w:spacing w:line="560" w:lineRule="exact"/>
              <w:jc w:val="center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容</w:t>
            </w:r>
          </w:p>
        </w:tc>
        <w:tc>
          <w:tcPr>
            <w:tcW w:w="6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（写明主要活动内容、互动形式、限制人数及报名方式）</w:t>
            </w: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例1：海尔世界家电博物馆开放周</w:t>
            </w: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活动内容：通过开放博物馆，了解家电发展起源；熟知从20世纪30年代到90年代家电发展史和每个年代的从未见过的“老家电”，人机互动增强科技体验；在智慧家庭展区，沉浸式体验物联网时代的家电可以如此“聪明”，体验智能家电对生活带来的乐趣；二楼互动体验区，通过电力小实验了解家电运行原理。</w:t>
            </w: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具体参观接待安排：采用自行参观的方式，参观时请务必佩戴口罩，因接待能力有限，接待人次上限200人，请以团体组织预约参观，建议参观团体人数在20-50人以内。参观时间为 月 日- 日，上午9：30，下午2：00二个批次。请至少提前2天进行电话预约。</w:t>
            </w: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eastAsia="仿宋_GB2312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例2：</w:t>
            </w:r>
            <w:r>
              <w:rPr>
                <w:rStyle w:val="7"/>
                <w:rFonts w:hint="eastAsia" w:eastAsia="仿宋_GB2312"/>
                <w:sz w:val="24"/>
              </w:rPr>
              <w:t>“我心目中的海洋”主题绘画活动方案</w:t>
            </w: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hint="eastAsia" w:eastAsia="仿宋_GB2312"/>
                <w:sz w:val="24"/>
              </w:rPr>
              <w:t>活动内容：由青岛市少年科学院组织全市中小学生报名，最终选出100名学生代表活动当天在百米长卷上现场作画，通过绘画的形式来畅想海洋、学习海洋，用五彩缤纷的画笔描绘出心目中的海洋世界，培养青少年关注海洋、热爱海洋、保护海洋的意识。</w:t>
            </w: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eastAsia="仿宋_GB2312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eastAsia="仿宋_GB2312"/>
                <w:sz w:val="24"/>
              </w:rPr>
            </w:pPr>
            <w:r>
              <w:rPr>
                <w:rStyle w:val="7"/>
                <w:rFonts w:eastAsia="仿宋_GB2312"/>
                <w:sz w:val="24"/>
              </w:rPr>
              <w:t>例</w:t>
            </w:r>
            <w:r>
              <w:rPr>
                <w:rStyle w:val="7"/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Style w:val="7"/>
                <w:rFonts w:eastAsia="仿宋_GB2312"/>
                <w:sz w:val="24"/>
              </w:rPr>
              <w:t>：</w:t>
            </w:r>
            <w:r>
              <w:rPr>
                <w:rStyle w:val="7"/>
                <w:rFonts w:hint="eastAsia" w:eastAsia="仿宋_GB2312"/>
                <w:sz w:val="24"/>
              </w:rPr>
              <w:t>主题科普宣传研学社会实践活动</w:t>
            </w: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hint="eastAsia" w:eastAsia="仿宋_GB2312"/>
                <w:sz w:val="24"/>
              </w:rPr>
            </w:pPr>
            <w:r>
              <w:rPr>
                <w:rStyle w:val="7"/>
                <w:rFonts w:hint="eastAsia" w:eastAsia="仿宋_GB2312"/>
                <w:sz w:val="24"/>
              </w:rPr>
              <w:t>活动内容：通过科普宣传教育课程课件、科普宣传短片及现场互动环节，以“请进来”与“走出去”的方式相结合，开展水质净化科普环保社会实践服务活动。并通过主流新闻媒体，多元素融合，多形式开展，广泛进行科普知识普及宣讲。</w:t>
            </w: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hint="eastAsia" w:eastAsia="仿宋_GB2312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hint="eastAsia" w:eastAsia="仿宋_GB2312"/>
                <w:sz w:val="24"/>
              </w:rPr>
            </w:pPr>
            <w:r>
              <w:rPr>
                <w:rStyle w:val="7"/>
                <w:rFonts w:hint="eastAsia" w:eastAsia="仿宋_GB2312"/>
                <w:sz w:val="24"/>
                <w:lang w:eastAsia="zh-CN"/>
              </w:rPr>
              <w:t>例</w:t>
            </w:r>
            <w:r>
              <w:rPr>
                <w:rStyle w:val="7"/>
                <w:rFonts w:hint="eastAsia" w:eastAsia="仿宋_GB2312"/>
                <w:sz w:val="24"/>
                <w:lang w:val="en-US" w:eastAsia="zh-CN"/>
              </w:rPr>
              <w:t>4.</w:t>
            </w:r>
            <w:r>
              <w:rPr>
                <w:rStyle w:val="7"/>
                <w:rFonts w:hint="eastAsia" w:eastAsia="仿宋_GB2312"/>
                <w:sz w:val="24"/>
              </w:rPr>
              <w:t>公交车3分钟快速逃生体验</w:t>
            </w:r>
          </w:p>
          <w:p>
            <w:pPr>
              <w:snapToGrid w:val="0"/>
              <w:ind w:firstLine="480" w:firstLineChars="200"/>
              <w:jc w:val="left"/>
              <w:rPr>
                <w:rStyle w:val="7"/>
                <w:rFonts w:hint="eastAsia" w:eastAsia="仿宋_GB2312"/>
                <w:sz w:val="24"/>
              </w:rPr>
            </w:pPr>
            <w:r>
              <w:rPr>
                <w:rStyle w:val="7"/>
                <w:rFonts w:hint="eastAsia" w:eastAsia="仿宋_GB2312"/>
                <w:sz w:val="24"/>
              </w:rPr>
              <w:t>活动内容：基地拟于5月23日，邀请市民及青少年约60人，前来参与体验公交车应急逃生。活动内容包括：佩戴酒驾模拟眼镜体验S弯；认识公交车内安全设施的存放位置及正确使用方法，学习紧急状态跳窗逃生方法；在工作人员的指挥下，进行车内跳窗体验和前后门逃生体验。活动结束后，基地将通过微信公众号、抖音短视频平台进行宣传。</w:t>
            </w:r>
          </w:p>
          <w:p>
            <w:pPr>
              <w:snapToGrid w:val="0"/>
              <w:spacing w:line="560" w:lineRule="exact"/>
              <w:rPr>
                <w:rStyle w:val="7"/>
                <w:rFonts w:eastAsia="仿宋_GB2312"/>
                <w:sz w:val="24"/>
              </w:rPr>
            </w:pPr>
          </w:p>
        </w:tc>
      </w:tr>
    </w:tbl>
    <w:p>
      <w:pPr>
        <w:spacing w:line="560" w:lineRule="exact"/>
        <w:ind w:left="1" w:right="105"/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</w:pPr>
      <w:r>
        <w:rPr>
          <w:rStyle w:val="7"/>
          <w:rFonts w:hint="eastAsia" w:ascii="仿宋_GB2312" w:eastAsia="仿宋_GB2312"/>
          <w:b/>
          <w:bCs w:val="0"/>
          <w:sz w:val="24"/>
          <w:szCs w:val="24"/>
          <w:lang w:val="en-US" w:eastAsia="zh-CN"/>
        </w:rPr>
        <w:t>备注：</w:t>
      </w:r>
    </w:p>
    <w:p>
      <w:pPr>
        <w:snapToGrid w:val="0"/>
        <w:spacing w:line="240" w:lineRule="auto"/>
        <w:jc w:val="left"/>
        <w:rPr>
          <w:rStyle w:val="7"/>
          <w:rFonts w:hint="eastAsia" w:ascii="仿宋_GB2312" w:eastAsia="仿宋_GB2312"/>
          <w:b/>
          <w:bCs w:val="0"/>
          <w:sz w:val="24"/>
          <w:szCs w:val="24"/>
        </w:rPr>
      </w:pPr>
      <w:r>
        <w:rPr>
          <w:rStyle w:val="7"/>
          <w:rFonts w:hint="eastAsia" w:ascii="仿宋_GB2312" w:eastAsia="仿宋_GB2312"/>
          <w:b/>
          <w:bCs w:val="0"/>
          <w:sz w:val="24"/>
          <w:szCs w:val="24"/>
          <w:lang w:val="en-US" w:eastAsia="zh-CN"/>
        </w:rPr>
        <w:t>1.此表需</w:t>
      </w:r>
      <w:r>
        <w:rPr>
          <w:rStyle w:val="7"/>
          <w:rFonts w:hint="eastAsia" w:ascii="仿宋_GB2312" w:eastAsia="仿宋_GB2312"/>
          <w:b/>
          <w:bCs w:val="0"/>
          <w:sz w:val="24"/>
          <w:szCs w:val="24"/>
          <w:lang w:eastAsia="zh-CN"/>
        </w:rPr>
        <w:t>各区（市、功能区）、</w:t>
      </w:r>
      <w:r>
        <w:rPr>
          <w:rStyle w:val="7"/>
          <w:rFonts w:hint="eastAsia" w:ascii="仿宋_GB2312" w:eastAsia="仿宋_GB2312"/>
          <w:b/>
          <w:bCs w:val="0"/>
          <w:sz w:val="24"/>
          <w:szCs w:val="24"/>
          <w:lang w:val="en-US" w:eastAsia="zh-CN"/>
        </w:rPr>
        <w:t>科普场馆、科研机构、高校等组织科普活动的各单位填写；</w:t>
      </w:r>
    </w:p>
    <w:p>
      <w:pPr>
        <w:snapToGrid w:val="0"/>
        <w:spacing w:line="240" w:lineRule="auto"/>
        <w:jc w:val="left"/>
        <w:rPr>
          <w:rStyle w:val="7"/>
          <w:rFonts w:hint="eastAsia" w:ascii="仿宋_GB2312" w:eastAsia="仿宋_GB2312"/>
          <w:b/>
          <w:bCs w:val="0"/>
          <w:sz w:val="24"/>
          <w:szCs w:val="24"/>
          <w:lang w:val="en-US" w:eastAsia="zh-CN"/>
        </w:rPr>
      </w:pPr>
      <w:r>
        <w:rPr>
          <w:rStyle w:val="7"/>
          <w:rFonts w:hint="eastAsia" w:ascii="仿宋_GB2312" w:eastAsia="仿宋_GB2312"/>
          <w:b/>
          <w:bCs w:val="0"/>
          <w:sz w:val="24"/>
          <w:szCs w:val="24"/>
          <w:lang w:val="en-US" w:eastAsia="zh-CN"/>
        </w:rPr>
        <w:t>2.活动形式可丰富多样，包括：科普展览、科普大赛、科普类讲座、场所开放、科普进校园、科普实践、科普游学、政策宣讲等线上线下各类活动；</w:t>
      </w:r>
    </w:p>
    <w:p>
      <w:pPr>
        <w:snapToGrid w:val="0"/>
        <w:spacing w:line="240" w:lineRule="auto"/>
        <w:jc w:val="left"/>
      </w:pPr>
      <w:r>
        <w:rPr>
          <w:rStyle w:val="7"/>
          <w:rFonts w:hint="eastAsia" w:ascii="仿宋_GB2312" w:eastAsia="仿宋_GB2312"/>
          <w:b/>
          <w:bCs w:val="0"/>
          <w:sz w:val="24"/>
          <w:szCs w:val="24"/>
          <w:lang w:val="en-US" w:eastAsia="zh-CN"/>
        </w:rPr>
        <w:t>3.费用情况主要由科普场馆填写，标明免费、收费、优惠力度等情况。</w:t>
      </w:r>
      <w:r>
        <w:rPr>
          <w:rStyle w:val="7"/>
          <w:rFonts w:eastAsia="黑体"/>
          <w:sz w:val="32"/>
        </w:rPr>
        <w:br w:type="page"/>
      </w:r>
    </w:p>
    <w:p>
      <w:pPr>
        <w:topLinePunct/>
        <w:spacing w:line="360" w:lineRule="auto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青岛科技活动周分会场主题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拍照要求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一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、</w:t>
      </w: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分会场主题要求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宋体" w:eastAsia="仿宋_GB2312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2022年青岛科技活动周—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XXX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分会场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ascii="sans-serif" w:hAnsi="sans-serif" w:eastAsia="sans-serif" w:cs="sans-serif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二、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  <w:lang w:eastAsia="zh-CN"/>
        </w:rPr>
        <w:t>拍照</w:t>
      </w: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要求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sans-serif" w:eastAsia="仿宋_GB2312" w:cs="楷体_GB2312"/>
          <w:color w:val="000000"/>
          <w:sz w:val="32"/>
          <w:szCs w:val="32"/>
          <w:shd w:val="clear" w:color="auto" w:fill="FFFFFF"/>
        </w:rPr>
        <w:t>1.图片种类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：包括现场照片、样报图片（电子报截图）、电视截屏、网络截图(含手机截图)。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sans-serif" w:eastAsia="仿宋_GB2312" w:cs="楷体_GB2312"/>
          <w:color w:val="000000"/>
          <w:sz w:val="32"/>
          <w:szCs w:val="32"/>
          <w:shd w:val="clear" w:color="auto" w:fill="FFFFFF"/>
        </w:rPr>
        <w:t>2.图片格式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：制作成</w:t>
      </w:r>
      <w:r>
        <w:rPr>
          <w:rStyle w:val="6"/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JPG或JPEG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格式、介于</w:t>
      </w:r>
      <w:r>
        <w:rPr>
          <w:rStyle w:val="6"/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0.2M—2M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之间，清晰无水印。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sans-serif" w:eastAsia="仿宋_GB2312" w:cs="楷体_GB2312"/>
          <w:color w:val="000000"/>
          <w:sz w:val="32"/>
          <w:szCs w:val="32"/>
          <w:shd w:val="clear" w:color="auto" w:fill="FFFFFF"/>
        </w:rPr>
        <w:t>3.图片数量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：提报的N张图片要能反映N次不同的活动。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ascii="仿宋_GB2312" w:hAnsi="sans-serif" w:eastAsia="仿宋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sans-serif" w:eastAsia="仿宋_GB2312" w:cs="楷体_GB2312"/>
          <w:color w:val="000000"/>
          <w:sz w:val="32"/>
          <w:szCs w:val="32"/>
          <w:shd w:val="clear" w:color="auto" w:fill="FFFFFF"/>
        </w:rPr>
        <w:t>4.图片内容：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ascii="仿宋_GB2312" w:hAnsi="sans-serif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①</w:t>
      </w:r>
      <w:r>
        <w:rPr>
          <w:rStyle w:val="6"/>
          <w:rFonts w:hint="eastAsia" w:ascii="仿宋_GB2312" w:hAnsi="sans-serif" w:eastAsia="仿宋_GB2312" w:cs="仿宋_GB2312"/>
          <w:b w:val="0"/>
          <w:color w:val="000000"/>
          <w:sz w:val="32"/>
          <w:szCs w:val="32"/>
          <w:shd w:val="clear" w:color="auto" w:fill="FFFFFF"/>
        </w:rPr>
        <w:t>要素齐全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，图片中出现活动时间、活动主体、活动主题、活动对象、地方属性、活动级别和规模等元素，同时主会场和分会场的开幕式、各类讲座活动的照片都需要包括主视觉+台上台下，完整体现“2022年青岛科技活动周”字样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3"/>
        <w:jc w:val="both"/>
        <w:rPr>
          <w:rFonts w:ascii="仿宋_GB2312" w:hAnsi="sans-serif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sans-serif" w:eastAsia="仿宋_GB2312" w:cs="仿宋_GB2312"/>
          <w:b w:val="0"/>
          <w:color w:val="000000"/>
          <w:sz w:val="32"/>
          <w:szCs w:val="32"/>
          <w:shd w:val="clear" w:color="auto" w:fill="FFFFFF"/>
        </w:rPr>
        <w:t>②人数要求，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拍摄照片时台上台下观众要求10人以上。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3"/>
        <w:jc w:val="both"/>
        <w:rPr>
          <w:rFonts w:ascii="仿宋_GB2312" w:hAnsi="sans-serif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sans-serif" w:eastAsia="仿宋_GB2312" w:cs="仿宋_GB2312"/>
          <w:b w:val="0"/>
          <w:color w:val="000000"/>
          <w:sz w:val="32"/>
          <w:szCs w:val="32"/>
          <w:shd w:val="clear" w:color="auto" w:fill="FFFFFF"/>
        </w:rPr>
        <w:t>③画面美观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，远近适中，拍摄完整。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3"/>
        <w:jc w:val="both"/>
        <w:rPr>
          <w:rStyle w:val="6"/>
          <w:rFonts w:ascii="仿宋_GB2312" w:hAnsi="sans-serif" w:eastAsia="仿宋_GB2312" w:cs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sans-serif" w:eastAsia="仿宋_GB2312" w:cs="仿宋_GB2312"/>
          <w:b w:val="0"/>
          <w:color w:val="000000"/>
          <w:sz w:val="32"/>
          <w:szCs w:val="32"/>
          <w:shd w:val="clear" w:color="auto" w:fill="FFFFFF"/>
        </w:rPr>
        <w:t>④内容清晰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，样报图片、电视截屏、网络截图应确保图中文字内容清晰可见</w:t>
      </w:r>
      <w:r>
        <w:rPr>
          <w:rStyle w:val="6"/>
          <w:rFonts w:hint="eastAsia" w:ascii="仿宋_GB2312" w:hAnsi="sans-serif" w:eastAsia="仿宋_GB2312" w:cs="仿宋_GB2312"/>
          <w:b w:val="0"/>
          <w:color w:val="000000"/>
          <w:sz w:val="32"/>
          <w:szCs w:val="32"/>
          <w:shd w:val="clear" w:color="auto" w:fill="FFFFFF"/>
        </w:rPr>
        <w:t>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3"/>
        <w:jc w:val="both"/>
        <w:rPr>
          <w:rFonts w:ascii="仿宋_GB2312" w:hAnsi="sans-serif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sans-serif" w:eastAsia="仿宋_GB2312" w:cs="仿宋_GB2312"/>
          <w:b w:val="0"/>
          <w:color w:val="000000"/>
          <w:sz w:val="32"/>
          <w:szCs w:val="32"/>
          <w:shd w:val="clear" w:color="auto" w:fill="FFFFFF"/>
        </w:rPr>
        <w:t>⑤注意细节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，画面中环境干净整洁，人员衣着举止文明。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⑥</w:t>
      </w:r>
      <w:r>
        <w:rPr>
          <w:rStyle w:val="6"/>
          <w:rFonts w:hint="eastAsia" w:ascii="仿宋_GB2312" w:hAnsi="sans-serif" w:eastAsia="仿宋_GB2312" w:cs="仿宋_GB2312"/>
          <w:b w:val="0"/>
          <w:color w:val="000000"/>
          <w:sz w:val="32"/>
          <w:szCs w:val="32"/>
          <w:shd w:val="clear" w:color="auto" w:fill="FFFFFF"/>
        </w:rPr>
        <w:t>确保真实</w:t>
      </w:r>
      <w:r>
        <w:rPr>
          <w:rFonts w:hint="eastAsia" w:ascii="仿宋_GB2312" w:hAnsi="sans-serif" w:eastAsia="仿宋_GB2312" w:cs="仿宋_GB2312"/>
          <w:color w:val="000000"/>
          <w:sz w:val="32"/>
          <w:szCs w:val="32"/>
          <w:shd w:val="clear" w:color="auto" w:fill="FFFFFF"/>
        </w:rPr>
        <w:t>，所报图片严禁任何形式的修改造假行为。</w:t>
      </w:r>
    </w:p>
    <w:p>
      <w:pPr>
        <w:topLinePunct/>
        <w:spacing w:line="360" w:lineRule="auto"/>
        <w:rPr>
          <w:rFonts w:hint="eastAsia" w:eastAsia="黑体"/>
          <w:lang w:eastAsia="zh-CN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4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_GBK" w:hAnsi="MS Gothic" w:eastAsia="方正小标宋_GBK" w:cs="MS Gothic"/>
          <w:b w:val="0"/>
          <w:sz w:val="44"/>
          <w:szCs w:val="44"/>
        </w:rPr>
      </w:pPr>
      <w:r>
        <w:rPr>
          <w:rFonts w:hint="eastAsia" w:ascii="方正小标宋_GBK" w:eastAsia="方正小标宋_GBK"/>
          <w:b w:val="0"/>
          <w:sz w:val="44"/>
          <w:szCs w:val="44"/>
        </w:rPr>
        <w:t>2022年</w:t>
      </w:r>
      <w:r>
        <w:rPr>
          <w:rFonts w:hint="eastAsia" w:ascii="方正小标宋_GBK" w:eastAsia="方正小标宋_GBK"/>
          <w:b w:val="0"/>
          <w:sz w:val="44"/>
          <w:szCs w:val="44"/>
          <w:lang w:eastAsia="zh-CN"/>
        </w:rPr>
        <w:t>青岛</w:t>
      </w:r>
      <w:r>
        <w:rPr>
          <w:rFonts w:hint="eastAsia" w:ascii="方正小标宋_GBK" w:eastAsia="方正小标宋_GBK"/>
          <w:b w:val="0"/>
          <w:sz w:val="44"/>
          <w:szCs w:val="44"/>
        </w:rPr>
        <w:t>科技活</w:t>
      </w:r>
      <w:r>
        <w:rPr>
          <w:rFonts w:hint="eastAsia" w:ascii="方正小标宋_GBK" w:hAnsi="微软雅黑" w:eastAsia="方正小标宋_GBK" w:cs="微软雅黑"/>
          <w:b w:val="0"/>
          <w:sz w:val="44"/>
          <w:szCs w:val="44"/>
        </w:rPr>
        <w:t>动</w:t>
      </w:r>
      <w:r>
        <w:rPr>
          <w:rFonts w:hint="eastAsia" w:ascii="方正小标宋_GBK" w:hAnsi="MS Gothic" w:eastAsia="方正小标宋_GBK" w:cs="MS Gothic"/>
          <w:b w:val="0"/>
          <w:sz w:val="44"/>
          <w:szCs w:val="44"/>
        </w:rPr>
        <w:t>周</w:t>
      </w:r>
      <w:r>
        <w:rPr>
          <w:rFonts w:hint="eastAsia" w:ascii="方正小标宋_GBK" w:hAnsi="MS Gothic" w:eastAsia="方正小标宋_GBK" w:cs="MS Gothic"/>
          <w:b w:val="0"/>
          <w:sz w:val="44"/>
          <w:szCs w:val="44"/>
          <w:lang w:eastAsia="zh-CN"/>
        </w:rPr>
        <w:t>分会场</w:t>
      </w:r>
      <w:r>
        <w:rPr>
          <w:rFonts w:hint="eastAsia" w:ascii="方正小标宋_GBK" w:hAnsi="MS Gothic" w:eastAsia="方正小标宋_GBK" w:cs="MS Gothic"/>
          <w:b w:val="0"/>
          <w:sz w:val="44"/>
          <w:szCs w:val="44"/>
        </w:rPr>
        <w:t>开展情况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_GBK" w:eastAsia="方正小标宋_GBK"/>
          <w:b w:val="0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b w:val="0"/>
          <w:sz w:val="44"/>
          <w:szCs w:val="44"/>
        </w:rPr>
        <w:t>统计</w:t>
      </w:r>
      <w:r>
        <w:rPr>
          <w:rFonts w:hint="eastAsia" w:ascii="方正小标宋_GBK" w:hAnsi="MS Gothic" w:eastAsia="方正小标宋_GBK" w:cs="MS Gothic"/>
          <w:b w:val="0"/>
          <w:sz w:val="44"/>
          <w:szCs w:val="44"/>
        </w:rPr>
        <w:t>表</w:t>
      </w:r>
    </w:p>
    <w:p>
      <w:pPr>
        <w:pStyle w:val="11"/>
        <w:rPr>
          <w:sz w:val="24"/>
          <w:szCs w:val="24"/>
        </w:rPr>
      </w:pPr>
    </w:p>
    <w:p>
      <w:pPr>
        <w:spacing w:after="78" w:afterLines="25"/>
        <w:ind w:left="210" w:left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部门/地方（盖章）：</w:t>
      </w:r>
    </w:p>
    <w:tbl>
      <w:tblPr>
        <w:tblStyle w:val="4"/>
        <w:tblW w:w="83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298"/>
        <w:gridCol w:w="3262"/>
        <w:gridCol w:w="28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科普活动开展次数</w:t>
            </w:r>
          </w:p>
        </w:tc>
        <w:tc>
          <w:tcPr>
            <w:tcW w:w="3262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举办活动次数</w:t>
            </w:r>
          </w:p>
        </w:tc>
        <w:tc>
          <w:tcPr>
            <w:tcW w:w="283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承接科技部活动任务个数</w:t>
            </w:r>
          </w:p>
        </w:tc>
        <w:tc>
          <w:tcPr>
            <w:tcW w:w="283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活动经费投入数量（单位：万元）</w:t>
            </w:r>
          </w:p>
        </w:tc>
        <w:tc>
          <w:tcPr>
            <w:tcW w:w="3262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中央财政经费投入情况</w:t>
            </w:r>
          </w:p>
        </w:tc>
        <w:tc>
          <w:tcPr>
            <w:tcW w:w="283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省级、副省级财政经费投入情况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市级财政经费投入情况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县级财政经费投入情况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企业赞助经费情况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实物投入情况（如：捐赠图书、光盘、创新操作室等）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其他经费情况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科普工作人员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参与数量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科普专职人员数量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科技工作者参与数量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招募科技志愿者数量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其他人员数量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科普活动群众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参与数量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线下活动群众参与数量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线上活动群众参与数量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宣传报道情况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参与媒体数量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宣传报道数量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科普场馆数量</w:t>
            </w:r>
          </w:p>
        </w:tc>
        <w:tc>
          <w:tcPr>
            <w:tcW w:w="6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活动周期间开放活动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的科研机构数量</w:t>
            </w:r>
          </w:p>
        </w:tc>
        <w:tc>
          <w:tcPr>
            <w:tcW w:w="6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227" w:hRule="atLeast"/>
          <w:jc w:val="center"/>
        </w:trPr>
        <w:tc>
          <w:tcPr>
            <w:tcW w:w="22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活动周期间开放活动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的大学数量</w:t>
            </w:r>
          </w:p>
        </w:tc>
        <w:tc>
          <w:tcPr>
            <w:tcW w:w="60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>
      <w:pPr>
        <w:ind w:firstLine="640"/>
        <w:rPr>
          <w:rFonts w:hint="eastAsia" w:ascii="仿宋_GB2312" w:eastAsia="仿宋_GB2312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A0"/>
    <w:rsid w:val="000E2D3D"/>
    <w:rsid w:val="001246A8"/>
    <w:rsid w:val="00355980"/>
    <w:rsid w:val="003A4AA0"/>
    <w:rsid w:val="005B73BE"/>
    <w:rsid w:val="006E0ACA"/>
    <w:rsid w:val="0075698F"/>
    <w:rsid w:val="00A41288"/>
    <w:rsid w:val="00B22983"/>
    <w:rsid w:val="00C74F50"/>
    <w:rsid w:val="00CC03B9"/>
    <w:rsid w:val="00EA72F6"/>
    <w:rsid w:val="17DC4A66"/>
    <w:rsid w:val="1D83DC54"/>
    <w:rsid w:val="2FDFCEC3"/>
    <w:rsid w:val="37FFFE3C"/>
    <w:rsid w:val="3BFF64A9"/>
    <w:rsid w:val="3EEE714D"/>
    <w:rsid w:val="3F8B34F8"/>
    <w:rsid w:val="4C7FF590"/>
    <w:rsid w:val="4FAF8B52"/>
    <w:rsid w:val="57BD6677"/>
    <w:rsid w:val="57EDDDE7"/>
    <w:rsid w:val="58B4AF9C"/>
    <w:rsid w:val="59BF1BCA"/>
    <w:rsid w:val="5F6F2E3F"/>
    <w:rsid w:val="5FFB27D2"/>
    <w:rsid w:val="604FF3DA"/>
    <w:rsid w:val="6388618B"/>
    <w:rsid w:val="67BF1A45"/>
    <w:rsid w:val="69755580"/>
    <w:rsid w:val="6BFF0F6C"/>
    <w:rsid w:val="6D5777EE"/>
    <w:rsid w:val="6DFA839A"/>
    <w:rsid w:val="6F0B3720"/>
    <w:rsid w:val="6FB7DD43"/>
    <w:rsid w:val="6FFF0D84"/>
    <w:rsid w:val="6FFF9C73"/>
    <w:rsid w:val="7253A1C2"/>
    <w:rsid w:val="75D80136"/>
    <w:rsid w:val="77A4A948"/>
    <w:rsid w:val="79C7FB95"/>
    <w:rsid w:val="7AF7003F"/>
    <w:rsid w:val="7BBCE566"/>
    <w:rsid w:val="7BFD5074"/>
    <w:rsid w:val="7C77CA80"/>
    <w:rsid w:val="7DCF0409"/>
    <w:rsid w:val="7EEA4216"/>
    <w:rsid w:val="7EED9458"/>
    <w:rsid w:val="7EF5B49A"/>
    <w:rsid w:val="7EFBDBA3"/>
    <w:rsid w:val="7EFEF47F"/>
    <w:rsid w:val="7F7F37BD"/>
    <w:rsid w:val="7F9F5900"/>
    <w:rsid w:val="7FBA5AAB"/>
    <w:rsid w:val="7FDFF1F4"/>
    <w:rsid w:val="7FFAE0D3"/>
    <w:rsid w:val="7FFF6FCB"/>
    <w:rsid w:val="7FFFF985"/>
    <w:rsid w:val="93BECD97"/>
    <w:rsid w:val="9FEA79E4"/>
    <w:rsid w:val="AE6F81B6"/>
    <w:rsid w:val="AEF9786B"/>
    <w:rsid w:val="AF354989"/>
    <w:rsid w:val="B3FD0CBC"/>
    <w:rsid w:val="B6C7CF69"/>
    <w:rsid w:val="B7FF3E88"/>
    <w:rsid w:val="BBF3FD54"/>
    <w:rsid w:val="BBF75258"/>
    <w:rsid w:val="BBF96AA1"/>
    <w:rsid w:val="BF6FE646"/>
    <w:rsid w:val="BFDDD69E"/>
    <w:rsid w:val="BFEE38E7"/>
    <w:rsid w:val="C6F97B51"/>
    <w:rsid w:val="CDEBECF7"/>
    <w:rsid w:val="CFDFE9CD"/>
    <w:rsid w:val="D4FF5DC4"/>
    <w:rsid w:val="DBED302B"/>
    <w:rsid w:val="DD7DCA1C"/>
    <w:rsid w:val="DDDF5407"/>
    <w:rsid w:val="DF2750EF"/>
    <w:rsid w:val="DFFF1174"/>
    <w:rsid w:val="E96DE3A9"/>
    <w:rsid w:val="EBF67650"/>
    <w:rsid w:val="EFF7E3C7"/>
    <w:rsid w:val="F7EFF2A0"/>
    <w:rsid w:val="F7FCA650"/>
    <w:rsid w:val="F7FE459E"/>
    <w:rsid w:val="F95D0279"/>
    <w:rsid w:val="F9F94A79"/>
    <w:rsid w:val="FBDE4F6A"/>
    <w:rsid w:val="FE7EB88C"/>
    <w:rsid w:val="FEFFC10D"/>
    <w:rsid w:val="FF5B9C21"/>
    <w:rsid w:val="FFBB03C0"/>
    <w:rsid w:val="FFCD93DF"/>
    <w:rsid w:val="FFDFA033"/>
    <w:rsid w:val="FFFF4932"/>
    <w:rsid w:val="FFFF9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uppressAutoHyphens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NormalCharacter"/>
    <w:qFormat/>
    <w:uiPriority w:val="0"/>
  </w:style>
  <w:style w:type="paragraph" w:customStyle="1" w:styleId="8">
    <w:name w:val="BodyText1I2"/>
    <w:basedOn w:val="1"/>
    <w:qFormat/>
    <w:uiPriority w:val="0"/>
    <w:pPr>
      <w:widowControl/>
      <w:spacing w:after="120"/>
      <w:ind w:left="420" w:leftChars="200" w:firstLine="420" w:firstLineChars="200"/>
      <w:textAlignment w:val="baseline"/>
    </w:pPr>
    <w:rPr>
      <w:rFonts w:ascii="Times New Roman" w:hAnsi="Times New Roman" w:eastAsia="宋体" w:cs="Times New Roman"/>
      <w:szCs w:val="24"/>
    </w:rPr>
  </w:style>
  <w:style w:type="paragraph" w:customStyle="1" w:styleId="9">
    <w:name w:val="Heading1"/>
    <w:basedOn w:val="1"/>
    <w:next w:val="1"/>
    <w:qFormat/>
    <w:uiPriority w:val="0"/>
    <w:pPr>
      <w:keepNext/>
      <w:widowControl/>
      <w:snapToGrid w:val="0"/>
      <w:spacing w:line="360" w:lineRule="auto"/>
      <w:ind w:firstLine="632" w:firstLineChars="200"/>
      <w:textAlignment w:val="baseline"/>
    </w:pPr>
    <w:rPr>
      <w:rFonts w:ascii="Calibri" w:hAnsi="Calibri" w:eastAsia="黑体" w:cs="Times New Roman"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附件标题"/>
    <w:basedOn w:val="2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6"/>
      <w:sz w:val="36"/>
      <w:szCs w:val="36"/>
    </w:rPr>
  </w:style>
  <w:style w:type="character" w:customStyle="1" w:styleId="12">
    <w:name w:val="标题 4 Char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305</Words>
  <Characters>1740</Characters>
  <Lines>14</Lines>
  <Paragraphs>4</Paragraphs>
  <TotalTime>1</TotalTime>
  <ScaleCrop>false</ScaleCrop>
  <LinksUpToDate>false</LinksUpToDate>
  <CharactersWithSpaces>2041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2022-04-11T01:54:00Z</dcterms:created>
  <dc:creator>人才处</dc:creator>
  <cp:lastModifiedBy>uos</cp:lastModifiedBy>
  <dcterms:modified xsi:type="dcterms:W3CDTF">2022-04-18T12:20:10Z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