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2"/>
        <w:rPr>
          <w:rFonts w:ascii="Times New Roman" w:hAnsi="Times New Roman" w:eastAsia="宋体" w:cs="Times New Roman"/>
          <w:b/>
          <w:bCs/>
          <w:color w:val="333333"/>
          <w:kern w:val="0"/>
          <w:sz w:val="27"/>
          <w:szCs w:val="27"/>
        </w:rPr>
      </w:pPr>
      <w:r>
        <w:rPr>
          <w:rFonts w:ascii="Times New Roman" w:hAnsi="Times New Roman" w:eastAsia="宋体" w:cs="Times New Roman"/>
          <w:b/>
          <w:bCs/>
          <w:color w:val="333333"/>
          <w:kern w:val="0"/>
          <w:sz w:val="27"/>
          <w:szCs w:val="27"/>
        </w:rPr>
        <w:t>山东省财政厅、省科技厅印发山东省重点研发计划资金管理办法的通知</w:t>
      </w:r>
    </w:p>
    <w:p>
      <w:pPr>
        <w:widowControl/>
        <w:shd w:val="clear" w:color="auto" w:fill="FFFFFF"/>
        <w:spacing w:line="314" w:lineRule="atLeast"/>
        <w:ind w:firstLine="401"/>
        <w:jc w:val="center"/>
        <w:rPr>
          <w:rFonts w:ascii="Times New Roman" w:hAnsi="Times New Roman" w:eastAsia="宋体" w:cs="Times New Roman"/>
          <w:color w:val="666666"/>
          <w:kern w:val="0"/>
          <w:sz w:val="15"/>
          <w:szCs w:val="15"/>
        </w:rPr>
      </w:pPr>
      <w:r>
        <w:rPr>
          <w:rFonts w:hint="eastAsia" w:ascii="宋体" w:hAnsi="宋体" w:eastAsia="宋体" w:cs="Times New Roman"/>
          <w:color w:val="666666"/>
          <w:kern w:val="0"/>
          <w:sz w:val="20"/>
          <w:szCs w:val="20"/>
        </w:rPr>
        <w:t>鲁财教〔2019〕2号</w:t>
      </w:r>
    </w:p>
    <w:p>
      <w:pPr>
        <w:widowControl/>
        <w:shd w:val="clear" w:color="auto" w:fill="FFFFFF"/>
        <w:spacing w:line="314" w:lineRule="atLeast"/>
        <w:jc w:val="left"/>
        <w:rPr>
          <w:rFonts w:ascii="Times New Roman" w:hAnsi="Times New Roman" w:eastAsia="宋体" w:cs="Times New Roman"/>
          <w:color w:val="666666"/>
          <w:kern w:val="0"/>
          <w:sz w:val="15"/>
          <w:szCs w:val="15"/>
        </w:rPr>
      </w:pPr>
      <w:r>
        <w:rPr>
          <w:rFonts w:hint="eastAsia" w:ascii="宋体" w:hAnsi="宋体" w:eastAsia="宋体" w:cs="Times New Roman"/>
          <w:color w:val="666666"/>
          <w:kern w:val="0"/>
          <w:sz w:val="20"/>
          <w:szCs w:val="20"/>
        </w:rPr>
        <w:t>各市财政局、科技局，省财政直接管理县（市）财政局、科技局，省直有关部门，各高等院校、科研院所，各有关单位：</w:t>
      </w:r>
    </w:p>
    <w:p>
      <w:pPr>
        <w:widowControl/>
        <w:shd w:val="clear" w:color="auto" w:fill="FFFFFF"/>
        <w:spacing w:line="314" w:lineRule="atLeast"/>
        <w:ind w:firstLine="401"/>
        <w:jc w:val="left"/>
        <w:rPr>
          <w:rFonts w:ascii="Times New Roman" w:hAnsi="Times New Roman" w:eastAsia="宋体" w:cs="Times New Roman"/>
          <w:color w:val="666666"/>
          <w:kern w:val="0"/>
          <w:sz w:val="15"/>
          <w:szCs w:val="15"/>
        </w:rPr>
      </w:pPr>
      <w:r>
        <w:rPr>
          <w:rFonts w:hint="eastAsia" w:ascii="宋体" w:hAnsi="宋体" w:eastAsia="宋体" w:cs="Times New Roman"/>
          <w:color w:val="666666"/>
          <w:kern w:val="0"/>
          <w:sz w:val="20"/>
          <w:szCs w:val="20"/>
        </w:rPr>
        <w:t>现将《山东省重点研发计划资金管理办法》印发给你们，请遵照执行。</w:t>
      </w:r>
    </w:p>
    <w:p>
      <w:pPr>
        <w:widowControl/>
        <w:shd w:val="clear" w:color="auto" w:fill="FFFFFF"/>
        <w:spacing w:line="314" w:lineRule="atLeast"/>
        <w:ind w:firstLine="401"/>
        <w:jc w:val="right"/>
        <w:rPr>
          <w:rFonts w:ascii="Times New Roman" w:hAnsi="Times New Roman" w:eastAsia="宋体" w:cs="Times New Roman"/>
          <w:color w:val="666666"/>
          <w:kern w:val="0"/>
          <w:sz w:val="15"/>
          <w:szCs w:val="15"/>
        </w:rPr>
      </w:pPr>
      <w:r>
        <w:rPr>
          <w:rFonts w:hint="eastAsia" w:ascii="宋体" w:hAnsi="宋体" w:eastAsia="宋体" w:cs="Times New Roman"/>
          <w:color w:val="666666"/>
          <w:kern w:val="0"/>
          <w:sz w:val="20"/>
          <w:szCs w:val="20"/>
        </w:rPr>
        <w:t>山东省财政厅</w:t>
      </w:r>
    </w:p>
    <w:p>
      <w:pPr>
        <w:widowControl/>
        <w:shd w:val="clear" w:color="auto" w:fill="FFFFFF"/>
        <w:spacing w:line="314" w:lineRule="atLeast"/>
        <w:ind w:firstLine="401"/>
        <w:jc w:val="right"/>
        <w:rPr>
          <w:rFonts w:ascii="Times New Roman" w:hAnsi="Times New Roman" w:eastAsia="宋体" w:cs="Times New Roman"/>
          <w:color w:val="666666"/>
          <w:kern w:val="0"/>
          <w:sz w:val="15"/>
          <w:szCs w:val="15"/>
        </w:rPr>
      </w:pPr>
      <w:r>
        <w:rPr>
          <w:rFonts w:hint="eastAsia" w:ascii="宋体" w:hAnsi="宋体" w:eastAsia="宋体" w:cs="Times New Roman"/>
          <w:color w:val="666666"/>
          <w:kern w:val="0"/>
          <w:sz w:val="20"/>
          <w:szCs w:val="20"/>
        </w:rPr>
        <w:t>山东省科学技术厅</w:t>
      </w:r>
    </w:p>
    <w:p>
      <w:pPr>
        <w:widowControl/>
        <w:shd w:val="clear" w:color="auto" w:fill="FFFFFF"/>
        <w:spacing w:line="314" w:lineRule="atLeast"/>
        <w:ind w:firstLine="401"/>
        <w:jc w:val="right"/>
        <w:rPr>
          <w:rFonts w:ascii="Times New Roman" w:hAnsi="Times New Roman" w:eastAsia="宋体" w:cs="Times New Roman"/>
          <w:color w:val="666666"/>
          <w:kern w:val="0"/>
          <w:sz w:val="15"/>
          <w:szCs w:val="15"/>
        </w:rPr>
      </w:pPr>
      <w:r>
        <w:rPr>
          <w:rFonts w:hint="eastAsia" w:ascii="宋体" w:hAnsi="宋体" w:eastAsia="宋体" w:cs="Times New Roman"/>
          <w:color w:val="666666"/>
          <w:kern w:val="0"/>
          <w:sz w:val="20"/>
          <w:szCs w:val="20"/>
        </w:rPr>
        <w:t>2019年01月22日</w:t>
      </w:r>
    </w:p>
    <w:p>
      <w:pPr>
        <w:widowControl/>
        <w:shd w:val="clear" w:color="auto" w:fill="FFFFFF"/>
        <w:spacing w:line="314" w:lineRule="atLeast"/>
        <w:ind w:firstLine="401"/>
        <w:jc w:val="center"/>
        <w:rPr>
          <w:rFonts w:hint="eastAsia" w:ascii="宋体" w:hAnsi="宋体" w:eastAsia="宋体" w:cs="Times New Roman"/>
          <w:b/>
          <w:color w:val="666666"/>
          <w:kern w:val="0"/>
          <w:sz w:val="32"/>
          <w:szCs w:val="32"/>
        </w:rPr>
      </w:pPr>
    </w:p>
    <w:p>
      <w:pPr>
        <w:widowControl/>
        <w:shd w:val="clear" w:color="auto" w:fill="FFFFFF"/>
        <w:spacing w:line="314" w:lineRule="atLeast"/>
        <w:ind w:firstLine="401"/>
        <w:jc w:val="center"/>
        <w:rPr>
          <w:rFonts w:ascii="Times New Roman" w:hAnsi="Times New Roman" w:eastAsia="宋体" w:cs="Times New Roman"/>
          <w:b/>
          <w:color w:val="666666"/>
          <w:kern w:val="0"/>
          <w:sz w:val="32"/>
          <w:szCs w:val="32"/>
        </w:rPr>
      </w:pPr>
      <w:r>
        <w:rPr>
          <w:rFonts w:hint="eastAsia" w:ascii="宋体" w:hAnsi="宋体" w:eastAsia="宋体" w:cs="Times New Roman"/>
          <w:b/>
          <w:color w:val="666666"/>
          <w:kern w:val="0"/>
          <w:sz w:val="32"/>
          <w:szCs w:val="32"/>
        </w:rPr>
        <w:t>山东省重点研发计划资金管理办法</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 xml:space="preserve">                     第一章　总　则</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第一条　为规范山东省重点研发计划资金（以下简称重点研发计划资金）管理和使用，提高资金使用效益，根据《省委办公厅 省政府办公厅印发〈关于完善财政科研项目资金管理政策的实施意见〉的通知》（鲁办发〔2016〕71号），以及国家和省有关财经法规和财务管理制度规定，制定本办法。</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第二条　重点研发计划资金由省级财政设立，面向全省经济社会发展及新旧动能转换的重大科技需求，重点支持基础性、公益性的科学研究及成果转化，推动重点领域关键核心技术实现新突破，培育科技人才队伍后备力量，支持科技领军人才开展深度研究，推进创新创业深入开展，为建设现代化经济体系提供科技创新支撑。</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第三条　重点研发计划资金的使用和管理，遵循“突出重点、分类支持、科学安排、注重绩效”的原则。</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第四条　重点研发计划资金实行分级管理、分级负责。省财政厅负责资金预算编制、下达拨付和绩效监管。省科技厅负责项目评审立项、资金分配和组织验收，对资金支出进度、绩效、安全性和规范性等负责。省直有关部门（单位）、各市（含黄河三角洲农业高新技术产业示范区）科技局、国家级高新区管委会以及中央驻鲁单位作为项目主管部门，负责项目资金日常监管。项目承担单位是项目资金管理使用的责任主体，负责项目资金的日常管理和监督。项目管理专业机构接受委托为项目预算申报、评估和项目验收等提供服务。</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第二章　项目资金支持方式</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第五条　重点研发计划资金采取多种支持方式，包括无偿资助、后补助、股权投资、风险补偿、贷款贴息等，具体支持方式在制发年度项目申报通知和项目指南时予以明确。</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第六条　无偿资助，是指对科研项目等活动所需成本，在开展前直接给予部分或全部补助的财政资助方式。</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后补助，是指从事研究开发和科技服务活动的单位先行投入资金，取得成果或服务绩效，通过验收或绩效考核后，给予资金补助的财政资助方式。</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股权投资（含资本金注入），是指财政资金对开展重大科技成果转化和产业化的项目相关的科技企业以股权形式进行权益性投资的财政支持方式。</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风险补偿，是指用于对金融机构给予科技创新和成果转化过程中银行、担保、创业投资、保险等支持活动产生的风险，给予一定比例补偿的财政支持方式。</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贷款贴息，是指对科技创新和科技成果转化过程中在一定时期内按照一定比例给予的银行贷款利息补贴。</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本办法主要规范无偿资助支持方式的资金，后补助支持方式参照执行。</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第三章　项目资金开支范围</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第七条　无偿资助项目资金，由直接费用和间接费用组成。</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第八条　直接费用，是指在项目研究过程中发生的与之直接相关的费用，主要包括：</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一）设备费。是指在项目研究过程中购置或试制专用仪器设备，对现有仪器设备进行升级改造，以及租赁外单位仪器设备而发生的费用。应当严格控制设备购置，鼓励开放共享、自主研制、租赁专用仪器设备以及对现有仪器设备进行升级改造，避免重复购置。</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（二）材料费。是指在项目研究过程中消耗的各种原材料、辅助材料等低值易耗品的采购及运输、装卸、整理等费用。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（三）测试化验加工费。是指在项目研究过程中支付给外单位（包括项目承担单位内部独立经济核算单位）的检验、测试、化验及加工等费用。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（四）燃料动力费。是指在项目研究开发过程中直接使用的相关仪器设备、科学装置等运行发生的水、电、气、燃料消耗费用等。</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五）会议、差旅、国际合作交流费。是指在项目实施过程中发生的会议费、差旅费和国际合作交流费。在编制预算时，本科目支出预算不超过直接费用预算10%的，不需要编制测算依据。项目承担单位和科研人员应当按照实事求是、精简高效、厉行节约的原则，严格执行有关规定，统筹安排使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（六）出版、文献、信息传播、知识产权事务费。是指在项目实施过程中，需要支付的出版费、资料费、专用软件购买费、文献检索费、专业通信费、专利申请及其他知识产权事务等费用。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七）劳务费。是指在项目实施过程中支付给参与项目研究的研究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劳务费科目列支。劳务费预算应据实编制，不设比例限制。</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（八）专家咨询费。是指在项目实施过程中支付给临时聘请的咨询、论证、绩效评价等专家的费用。专家咨询费不得支付给参与项目、课题研究和管理的相关工作人员。</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（九）其他支出。是指在项目实施过程中除上述支出范围之外的项目专项审计、绩效评价等其他相关支出。其他支出应当在申请预算时详细说明。</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第九条　间接费用，是指项目承担单位在组织实施项目过程中发生的无法在直接费用中列支的相关费用。主要包括：承担单位为项目研究提供的房屋占用，日常水、电、气、暖消耗，有关管理费用的补助支出，以及激励科研人员的绩效支出等。</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第十条　结合承担单位信用情况，间接费用实行总额控制，按照不超过直接费用扣除设备购置费后的一定比例核定，具体比例如下：</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（一）500万元及以下部分，为30%。</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（二）超过500万元至1000万元的部分，为25%。</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（三）超过1000万元以上的部分，为20%。</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对数学等纯理论基础研究项目，根据实际情况适当调整间接费用比例。</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第十一条　间接费用由项目承担单位统一管理使用。项目承担单位应当制定间接费用内部管理办法，公开透明、合规合理使用间接费用，处理好合理分摊间接成本和对科研人员激励的关系。间接经费的使用，应向创新绩效突出的团队和个人倾斜。项目中有多个单位的，间接费用在总额范围内由项目牵头单位与参与单位协商分配。项目承担单位不得在核定的间接费用以外，再以任何名义在项目资金中重复提取、列支相关费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第十二条　后补助项目资金由项目承担单位统筹使用，用于研发人员及团队奖励的项目资金最高可达50%。</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第四章　预算编制与审批</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第十三条　省科技厅按照部门预算编制要求，编制重点研发计划资金中期财政规划和年度预算建议，提前细化下年度重点研发计划资金项目预算，并及时将项目及实施单位等相关信息纳入财政项目库。</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第十四条　项目负责人根据目标相关性、政策相符性和经济合理性原则，科学、合理、真实地编制项目预算。支出预算按照重点研发计划资金支出范围编列，项目直接费用中除设备费外，其他费用只提供基本测算说明，不提供明细。对仪器设备鼓励共享、试制、租赁，以及对现有仪器设备进行升级改造，确有必要购置的，应当对拟购置设备的理由及开放共享进行说明。涉及合作研究经费的，应当对项目合作单位资质及拟外拨资金进行说明。</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第十五条　项目承担单位在申请项目时，应当组织其科研和财务部门对项目预算进行审核。对跨单位合作项目，项目承担单位的项目负责人和项目合作单位参与者，应当根据合作协议和各自承担的研究任务编报资金预算，由项目负责人汇总编制项目总预算。</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项目确需外拨资金的，应当在项目预算中单独列示，并附外拨资金直接费用支出预算。间接费用外拨金额，由项目承担单位和合作单位协商确定。项目承担单位应当按照合作协议和审核通过的项目预算，及时转拨合作单位资金。</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第十六条　项目承担单位组织项目负责人与项目主管部门、省科技厅签订三方项目任务书，应将项目预算、资助额度等纳入任务书内容。</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第五章　预算执行与决算</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第十七条　重点研发计划资金要按照国库集中支付制度规定，及时拨付。逐级转拨资金时，不得无故拖延。</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第十八条　项目承担单位应当严格执行国家、省有关财经法规和财务制度，切实履行法人责任，建立健全项目资金内部管理制度和报销规定，明确内部管理权限和审批程序，完善内控机制建设，强化资金使用绩效评价，确保资金使用安全规范高效。</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第十九条　项目承担单位应当建立健全科研财务助理制度，为科研人员在项目预算编制和调剂、资金支出、财务决算和验收等方面提供专业化服务。</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第二十条　项目承担单位应当将项目资金纳入单位财务统一管理，对省级财政资金和其他来源的资金分别单独核算，确保专款专用。按照承诺保证其他来源的资金及时足额到位。</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第二十一条　项目承担单位应当建立信息公开制度，在单位内部公开项目立项、主要研究人员、资金使用（重点是间接费用、外拨资金、结余资金使用等）、大型仪器设备购置以及项目研究成果等情况，接受内部监督。</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第二十二条　项目承担单位应当严格执行国家、省有关支出管理制度。对应当实行“公务卡”结算的支出，按照公务卡结算有关规定执行。对于设备费、大宗材料费和测试化验加工费、劳务费、专家咨询费等，原则上应当通过银行转账方式结算，从严控制现金支出事项。对野外考察、心理测试等科研活动中无法取得发票或财政票据的，在确保真实性的前提下，可按实际发生额予以报销。</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第二十三条　项目承担单位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不得随意调账变动支出、随意修改记账凭证，严禁以任何方式使用项目资金列支应当由个人负担的有关费用和支付各种罚款、捐款、赞助、投资等。</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第二十四条　项目承担单位应当按照下达的预算执行。项目在研期间，年度剩余资金结转下一年度继续使用。项目预算总额不变，项目直接费用中除设备费外，其他科目费用调剂权全部下放给项目承担单位；项目预算总额不变、项目参与单位之间预算调剂以及增减参与单位的，由项目承担单位逐级向省科技厅提出申请，省科技厅审核评估后，按有关规定批准。</w:t>
      </w:r>
      <w:r>
        <w:rPr>
          <w:rFonts w:hint="eastAsia" w:cs="Times New Roman" w:asciiTheme="majorEastAsia" w:hAnsiTheme="majorEastAsia" w:eastAsiaTheme="majorEastAsia"/>
          <w:color w:val="FF0000"/>
          <w:kern w:val="0"/>
          <w:sz w:val="28"/>
          <w:szCs w:val="28"/>
        </w:rPr>
        <w:t>间接费用预算总额不得调增，经项目承担单位与项目负责人协商一致后，可以调减用于直接费用。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第二十五条　项目承担单位应当</w:t>
      </w:r>
      <w:bookmarkStart w:id="0" w:name="_GoBack"/>
      <w:bookmarkEnd w:id="0"/>
      <w:r>
        <w:rPr>
          <w:rFonts w:hint="eastAsia" w:cs="Times New Roman" w:asciiTheme="majorEastAsia" w:hAnsiTheme="majorEastAsia" w:eastAsiaTheme="majorEastAsia"/>
          <w:color w:val="666666"/>
          <w:kern w:val="0"/>
          <w:sz w:val="28"/>
          <w:szCs w:val="28"/>
        </w:rPr>
        <w:t>于每年11月底前形成项目资金使用情况，与项目年度执行情况一起报送项目主管部门，由项目主管部门汇总后报送省科技厅、省财政厅。</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第二十六条　项目资金使用管理中涉及的政府采购、政府购买服务、国有资产管理等事项，严格按照相关规定执行。使用省级财政资金形成的大型科学仪器设备、科学数据、自然科技资源等，按照规定开放共享。</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第二十七条　项目因故撤销或终止，项目承担单位应当及时清理账目与资产，编制财务报告及资产清单，逐级报送省科技厅、省财政厅。省科技厅、省财政厅组织清查处理，确认并回收结余资金（含处理已购物资、材料及仪器设备的变价收入），统筹用于重点研发计划后续支出。</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第二十八条　项目执行期满后，项目承担单位应当及时组织清理账目与资产，如实编制项目资金决算，不得随意调账变动支出、随意修改记账凭证。有外拨资金的项目，合作单位应编制外拨资金决算，按规定汇总编制项目资金决算。</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第二十九条　项目完成任务目标并通过验收后，结余资金按规定留归项目承担单位使用，在2年内由项目承担单位统筹安排用于科研活动的直接支出；2年后未使用完的，按规定收回。未通过验收、整改后通过验收的项目，结余资金按规定收回。</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第六章　绩效与监督管理</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第三十条　重点研发计划资金实行绩效目标管理，省科技厅、项目主管部门、项目承担单位按照各自职责，对项目实施及经费使用情况开展绩效监控、绩效评价。绩效评价结果作为今后省级财政经费支持的重要依据。</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第三十一条　省科技厅、项目主管部门和承担单位等相关主体应当按照各自职责，建立覆盖资金管理使用全过程的资金监督检查机制，确保资金安全、规范使用。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第三十二条　省科技厅组织或委托项目专业机构，定期或不定期对项目承担单位法人责任和内部控制、项目资金拨付的及时性、项目资金管理使用的规范性、安全性和有效性等进行抽查。</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第三十三条　项目主管部门应当督促所属项目承担单位加强内控制度和监督制约机制建设，落实项目资金管理责任。</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第三十四条　项目承担单位应当按照本办法和相关财经法规及财务管理规定，完善内部控制和监督制约机制，加强支撑服务条件建设，提高对科研人员的服务水平，建立常态化的自查自纠机制，保证项目资金安全。</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第三十五条　项目承担单位在预算编报、资金拨付、资金管理使用、财务验收等环节存在违规行为的，应当严肃处理。省科技厅、省财政厅视情节轻重采取约谈、暂停项目拨款、终止项目执行、追回已拨资金、5年内取消项目承担单位或项目主要负责人和参与人员项目申报资格等措施，并将有关结果向社会公开。</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第三十六条　重点研发计划资金使用管理实行责任追究机制，对资金使用管理过程中出现的弄虚作假、截留、挪用、挤占资金等行为，按照《中华人民共和国预算法》《财政违法行为处罚处分条例》（国务院令第427号）等有关规定严肃予以处理，并依法追究责任。</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第三十七条　省科技厅、省财政厅按照科研信用管理相关规定，对相关主体参与项目资金管理使用的行为进行记录和信用评价，相关信息作为省科技计划管理的重要决策依据。</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第七章　附　则</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第三十八条　本办法由省财政厅、省科技厅负责解释。</w:t>
      </w:r>
    </w:p>
    <w:p>
      <w:pPr>
        <w:widowControl/>
        <w:shd w:val="clear" w:color="auto" w:fill="FFFFFF"/>
        <w:spacing w:line="314" w:lineRule="atLeast"/>
        <w:ind w:firstLine="401"/>
        <w:jc w:val="left"/>
        <w:rPr>
          <w:rFonts w:cs="Times New Roman" w:asciiTheme="majorEastAsia" w:hAnsiTheme="majorEastAsia" w:eastAsiaTheme="majorEastAsia"/>
          <w:color w:val="666666"/>
          <w:kern w:val="0"/>
          <w:sz w:val="28"/>
          <w:szCs w:val="28"/>
        </w:rPr>
      </w:pPr>
      <w:r>
        <w:rPr>
          <w:rFonts w:hint="eastAsia" w:cs="Times New Roman" w:asciiTheme="majorEastAsia" w:hAnsiTheme="majorEastAsia" w:eastAsiaTheme="majorEastAsia"/>
          <w:color w:val="666666"/>
          <w:kern w:val="0"/>
          <w:sz w:val="28"/>
          <w:szCs w:val="28"/>
        </w:rPr>
        <w:t>第三十九条　本办法自2019年2月21日起施行，有效期至2022年2月20日。</w:t>
      </w:r>
    </w:p>
    <w:p>
      <w:pPr>
        <w:rPr>
          <w:rFonts w:asciiTheme="majorEastAsia" w:hAnsiTheme="majorEastAsia"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7B41"/>
    <w:rsid w:val="00160147"/>
    <w:rsid w:val="00307B41"/>
    <w:rsid w:val="00650694"/>
    <w:rsid w:val="00743502"/>
    <w:rsid w:val="008970E1"/>
    <w:rsid w:val="00BA0AA2"/>
    <w:rsid w:val="2CDE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semiHidden/>
    <w:unhideWhenUsed/>
    <w:qFormat/>
    <w:uiPriority w:val="99"/>
    <w:rPr>
      <w:rFonts w:ascii="宋体" w:eastAsia="宋体"/>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3 Char"/>
    <w:basedOn w:val="8"/>
    <w:link w:val="2"/>
    <w:qFormat/>
    <w:uiPriority w:val="9"/>
    <w:rPr>
      <w:rFonts w:ascii="宋体" w:hAnsi="宋体" w:eastAsia="宋体" w:cs="宋体"/>
      <w:b/>
      <w:bCs/>
      <w:kern w:val="0"/>
      <w:sz w:val="27"/>
      <w:szCs w:val="27"/>
    </w:rPr>
  </w:style>
  <w:style w:type="character" w:customStyle="1" w:styleId="10">
    <w:name w:val="fl"/>
    <w:basedOn w:val="8"/>
    <w:qFormat/>
    <w:uiPriority w:val="0"/>
  </w:style>
  <w:style w:type="character" w:customStyle="1" w:styleId="11">
    <w:name w:val="fr"/>
    <w:basedOn w:val="8"/>
    <w:qFormat/>
    <w:uiPriority w:val="0"/>
  </w:style>
  <w:style w:type="character" w:customStyle="1" w:styleId="12">
    <w:name w:val="文档结构图 Char"/>
    <w:basedOn w:val="8"/>
    <w:link w:val="3"/>
    <w:semiHidden/>
    <w:qFormat/>
    <w:uiPriority w:val="99"/>
    <w:rPr>
      <w:rFonts w:ascii="宋体" w:eastAsia="宋体"/>
      <w:sz w:val="18"/>
      <w:szCs w:val="18"/>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814</Words>
  <Characters>4640</Characters>
  <Lines>38</Lines>
  <Paragraphs>10</Paragraphs>
  <TotalTime>21</TotalTime>
  <ScaleCrop>false</ScaleCrop>
  <LinksUpToDate>false</LinksUpToDate>
  <CharactersWithSpaces>5444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2019-02-26T06:41:00Z</dcterms:created>
  <dc:creator>裴红艳</dc:creator>
  <cp:lastModifiedBy>3040</cp:lastModifiedBy>
  <dcterms:modified xsi:type="dcterms:W3CDTF">2021-11-08T07:33:27Z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A8B7CB2995954484ADE99DD21EF43E10</vt:lpwstr>
  </property>
</Properties>
</file>